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70F7F">
      <w:pPr>
        <w:pStyle w:val="2"/>
        <w:rPr>
          <w:rFonts w:hint="eastAsia"/>
          <w:color w:val="auto"/>
          <w:highlight w:val="none"/>
        </w:rPr>
      </w:pPr>
      <w:bookmarkStart w:id="0" w:name="_Toc6787"/>
      <w:r>
        <w:rPr>
          <w:rFonts w:hint="eastAsia"/>
          <w:color w:val="auto"/>
          <w:highlight w:val="none"/>
        </w:rPr>
        <w:t>第八章 拟签订采购合同文本</w:t>
      </w:r>
      <w:bookmarkEnd w:id="0"/>
    </w:p>
    <w:p w14:paraId="4B8D32C8">
      <w:pPr>
        <w:widowControl/>
        <w:kinsoku w:val="0"/>
        <w:autoSpaceDE w:val="0"/>
        <w:autoSpaceDN w:val="0"/>
        <w:adjustRightInd w:val="0"/>
        <w:snapToGrid w:val="0"/>
        <w:spacing w:line="240" w:lineRule="auto"/>
        <w:jc w:val="left"/>
        <w:textAlignment w:val="baseline"/>
        <w:rPr>
          <w:rFonts w:hint="eastAsia" w:ascii="宋体" w:hAnsi="宋体" w:cs="宋体"/>
          <w:b/>
          <w:bCs/>
          <w:snapToGrid w:val="0"/>
          <w:color w:val="auto"/>
          <w:kern w:val="0"/>
          <w:sz w:val="30"/>
          <w:szCs w:val="30"/>
          <w:highlight w:val="none"/>
          <w:lang w:val="en-US" w:eastAsia="zh-CN"/>
        </w:rPr>
      </w:pPr>
    </w:p>
    <w:p w14:paraId="13A1348F">
      <w:pPr>
        <w:widowControl/>
        <w:kinsoku w:val="0"/>
        <w:autoSpaceDE w:val="0"/>
        <w:autoSpaceDN w:val="0"/>
        <w:adjustRightInd w:val="0"/>
        <w:snapToGrid w:val="0"/>
        <w:spacing w:line="240" w:lineRule="auto"/>
        <w:jc w:val="left"/>
        <w:textAlignment w:val="baseline"/>
        <w:rPr>
          <w:rFonts w:hint="eastAsia" w:ascii="宋体" w:hAnsi="宋体" w:cs="宋体"/>
          <w:b/>
          <w:bCs/>
          <w:snapToGrid w:val="0"/>
          <w:color w:val="auto"/>
          <w:kern w:val="0"/>
          <w:sz w:val="30"/>
          <w:szCs w:val="30"/>
          <w:highlight w:val="none"/>
          <w:lang w:val="en-US" w:eastAsia="zh-CN"/>
        </w:rPr>
      </w:pPr>
    </w:p>
    <w:p w14:paraId="3A036336">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28"/>
          <w:szCs w:val="28"/>
          <w:highlight w:val="none"/>
          <w:u w:val="single"/>
          <w:lang w:val="en-US" w:eastAsia="zh-CN"/>
        </w:rPr>
      </w:pPr>
      <w:r>
        <w:rPr>
          <w:rFonts w:hint="eastAsia" w:ascii="宋体" w:hAnsi="宋体" w:cs="宋体"/>
          <w:b/>
          <w:bCs/>
          <w:snapToGrid w:val="0"/>
          <w:color w:val="auto"/>
          <w:kern w:val="0"/>
          <w:sz w:val="28"/>
          <w:szCs w:val="28"/>
          <w:highlight w:val="none"/>
          <w:lang w:val="en-US" w:eastAsia="zh-CN"/>
        </w:rPr>
        <w:t xml:space="preserve">政府采购项目        </w:t>
      </w:r>
      <w:r>
        <w:rPr>
          <w:rFonts w:hint="eastAsia" w:ascii="宋体" w:hAnsi="宋体" w:eastAsia="宋体" w:cs="宋体"/>
          <w:b/>
          <w:bCs/>
          <w:snapToGrid w:val="0"/>
          <w:color w:val="auto"/>
          <w:kern w:val="0"/>
          <w:sz w:val="28"/>
          <w:szCs w:val="28"/>
          <w:highlight w:val="none"/>
          <w:lang w:eastAsia="en-US"/>
        </w:rPr>
        <w:t xml:space="preserve">             合同编号：</w:t>
      </w:r>
      <w:r>
        <w:rPr>
          <w:rFonts w:hint="eastAsia" w:ascii="宋体" w:hAnsi="宋体" w:eastAsia="宋体" w:cs="宋体"/>
          <w:b/>
          <w:bCs/>
          <w:color w:val="auto"/>
          <w:sz w:val="28"/>
          <w:szCs w:val="28"/>
          <w:highlight w:val="none"/>
          <w:u w:val="single"/>
          <w:lang w:val="en-US" w:eastAsia="zh-CN"/>
        </w:rPr>
        <w:t xml:space="preserve">              </w:t>
      </w:r>
    </w:p>
    <w:p w14:paraId="5CC20799">
      <w:pPr>
        <w:widowControl w:val="0"/>
        <w:spacing w:line="324" w:lineRule="auto"/>
        <w:jc w:val="both"/>
        <w:rPr>
          <w:rFonts w:hint="eastAsia" w:ascii="Times New Roman" w:hAnsi="宋体" w:eastAsia="宋体" w:cs="宋体"/>
          <w:b/>
          <w:bCs/>
          <w:color w:val="auto"/>
          <w:kern w:val="2"/>
          <w:sz w:val="22"/>
          <w:szCs w:val="22"/>
          <w:highlight w:val="none"/>
          <w:lang w:val="en-US" w:eastAsia="zh-CN" w:bidi="ar-SA"/>
        </w:rPr>
      </w:pPr>
    </w:p>
    <w:p w14:paraId="5DE9304A">
      <w:pPr>
        <w:widowControl w:val="0"/>
        <w:spacing w:line="324" w:lineRule="auto"/>
        <w:jc w:val="both"/>
        <w:rPr>
          <w:rFonts w:hint="eastAsia" w:ascii="Times New Roman" w:hAnsi="宋体" w:eastAsia="宋体" w:cs="宋体"/>
          <w:b/>
          <w:bCs/>
          <w:color w:val="auto"/>
          <w:kern w:val="2"/>
          <w:sz w:val="22"/>
          <w:szCs w:val="22"/>
          <w:highlight w:val="none"/>
          <w:lang w:val="en-US" w:eastAsia="zh-CN" w:bidi="ar-SA"/>
        </w:rPr>
      </w:pPr>
    </w:p>
    <w:p w14:paraId="6D318B43">
      <w:pPr>
        <w:widowControl w:val="0"/>
        <w:spacing w:line="324" w:lineRule="auto"/>
        <w:jc w:val="both"/>
        <w:rPr>
          <w:rFonts w:hint="eastAsia" w:ascii="Times New Roman" w:hAnsi="Times New Roman" w:eastAsia="宋体" w:cs="Times New Roman"/>
          <w:color w:val="auto"/>
          <w:kern w:val="2"/>
          <w:sz w:val="20"/>
          <w:szCs w:val="20"/>
          <w:highlight w:val="none"/>
          <w:lang w:val="en-US" w:eastAsia="zh-CN" w:bidi="ar-SA"/>
        </w:rPr>
      </w:pPr>
    </w:p>
    <w:p w14:paraId="6A973809">
      <w:pPr>
        <w:pStyle w:val="3"/>
        <w:rPr>
          <w:rFonts w:hint="eastAsia" w:ascii="Times New Roman" w:hAnsi="Times New Roman" w:eastAsia="宋体" w:cs="Times New Roman"/>
          <w:color w:val="auto"/>
          <w:kern w:val="2"/>
          <w:sz w:val="20"/>
          <w:szCs w:val="20"/>
          <w:highlight w:val="none"/>
          <w:lang w:val="en-US" w:eastAsia="zh-CN" w:bidi="ar-SA"/>
        </w:rPr>
      </w:pPr>
    </w:p>
    <w:p w14:paraId="26877DB5">
      <w:pPr>
        <w:rPr>
          <w:rFonts w:hint="eastAsia"/>
          <w:color w:val="auto"/>
          <w:sz w:val="20"/>
          <w:szCs w:val="22"/>
          <w:highlight w:val="none"/>
          <w:lang w:val="en-US" w:eastAsia="zh-CN"/>
        </w:rPr>
      </w:pPr>
    </w:p>
    <w:p w14:paraId="61E90CBD">
      <w:pPr>
        <w:pStyle w:val="4"/>
        <w:ind w:left="0" w:leftChars="0" w:hanging="7" w:firstLineChars="0"/>
        <w:jc w:val="center"/>
        <w:rPr>
          <w:rFonts w:hint="eastAsia" w:ascii="宋体" w:hAnsi="宋体" w:eastAsia="宋体" w:cs="宋体"/>
          <w:b/>
          <w:bCs/>
          <w:color w:val="auto"/>
          <w:kern w:val="0"/>
          <w:sz w:val="40"/>
          <w:szCs w:val="40"/>
          <w:highlight w:val="none"/>
          <w:u w:val="none"/>
          <w:lang w:val="en-US" w:eastAsia="zh-CN"/>
        </w:rPr>
      </w:pPr>
    </w:p>
    <w:p w14:paraId="059FF510">
      <w:pPr>
        <w:pStyle w:val="4"/>
        <w:ind w:left="0" w:leftChars="0" w:hanging="7" w:firstLineChars="0"/>
        <w:jc w:val="center"/>
        <w:rPr>
          <w:rFonts w:hint="eastAsia" w:ascii="宋体" w:hAnsi="宋体" w:eastAsia="宋体" w:cs="宋体"/>
          <w:b/>
          <w:bCs/>
          <w:color w:val="auto"/>
          <w:kern w:val="0"/>
          <w:sz w:val="40"/>
          <w:szCs w:val="40"/>
          <w:highlight w:val="none"/>
          <w:u w:val="none"/>
          <w:lang w:val="en-US" w:eastAsia="zh-CN"/>
        </w:rPr>
      </w:pPr>
    </w:p>
    <w:p w14:paraId="71D90BB8">
      <w:pPr>
        <w:pStyle w:val="4"/>
        <w:ind w:left="0" w:leftChars="0" w:hanging="7" w:firstLineChars="0"/>
        <w:jc w:val="center"/>
        <w:rPr>
          <w:rFonts w:hint="default" w:ascii="宋体" w:hAnsi="宋体" w:eastAsia="宋体" w:cs="宋体"/>
          <w:b/>
          <w:bCs/>
          <w:color w:val="auto"/>
          <w:kern w:val="0"/>
          <w:sz w:val="40"/>
          <w:szCs w:val="40"/>
          <w:highlight w:val="none"/>
          <w:u w:val="none"/>
          <w:lang w:val="en-US" w:eastAsia="zh-CN"/>
        </w:rPr>
      </w:pPr>
      <w:r>
        <w:rPr>
          <w:rFonts w:hint="eastAsia" w:ascii="宋体" w:hAnsi="宋体" w:eastAsia="宋体" w:cs="宋体"/>
          <w:b/>
          <w:bCs/>
          <w:color w:val="auto"/>
          <w:kern w:val="0"/>
          <w:sz w:val="40"/>
          <w:szCs w:val="40"/>
          <w:highlight w:val="none"/>
          <w:u w:val="none"/>
          <w:lang w:val="en-US" w:eastAsia="zh-CN"/>
        </w:rPr>
        <w:t>（农村公路初步设计文件审查）</w:t>
      </w:r>
    </w:p>
    <w:p w14:paraId="000C0685">
      <w:pPr>
        <w:pStyle w:val="4"/>
        <w:ind w:left="0" w:leftChars="0" w:hanging="7" w:firstLineChars="0"/>
        <w:jc w:val="center"/>
        <w:rPr>
          <w:rFonts w:hint="default" w:ascii="宋体" w:hAnsi="宋体" w:eastAsia="宋体" w:cs="宋体"/>
          <w:b/>
          <w:bCs/>
          <w:color w:val="auto"/>
          <w:kern w:val="0"/>
          <w:sz w:val="40"/>
          <w:szCs w:val="40"/>
          <w:highlight w:val="none"/>
          <w:u w:val="none"/>
          <w:lang w:val="en-US" w:eastAsia="en-US"/>
        </w:rPr>
      </w:pPr>
      <w:r>
        <w:rPr>
          <w:rFonts w:hint="eastAsia" w:ascii="宋体" w:hAnsi="宋体" w:eastAsia="宋体" w:cs="宋体"/>
          <w:b/>
          <w:bCs/>
          <w:color w:val="auto"/>
          <w:kern w:val="0"/>
          <w:sz w:val="40"/>
          <w:szCs w:val="40"/>
          <w:highlight w:val="none"/>
          <w:u w:val="none"/>
          <w:lang w:val="en-US" w:eastAsia="zh-CN"/>
        </w:rPr>
        <w:t>服务合同</w:t>
      </w:r>
    </w:p>
    <w:p w14:paraId="6CABBFE8">
      <w:pPr>
        <w:spacing w:line="324" w:lineRule="auto"/>
        <w:rPr>
          <w:rFonts w:hint="eastAsia" w:ascii="Times New Roman" w:hAnsi="宋体" w:eastAsia="宋体" w:cs="宋体"/>
          <w:color w:val="auto"/>
          <w:sz w:val="16"/>
          <w:szCs w:val="20"/>
          <w:highlight w:val="none"/>
        </w:rPr>
      </w:pPr>
    </w:p>
    <w:p w14:paraId="3D5DB5F8">
      <w:pPr>
        <w:spacing w:line="324" w:lineRule="auto"/>
        <w:rPr>
          <w:rFonts w:hint="eastAsia" w:ascii="Times New Roman" w:hAnsi="宋体" w:eastAsia="宋体" w:cs="宋体"/>
          <w:color w:val="auto"/>
          <w:sz w:val="16"/>
          <w:szCs w:val="20"/>
          <w:highlight w:val="none"/>
        </w:rPr>
      </w:pPr>
    </w:p>
    <w:p w14:paraId="7BD8E363">
      <w:pPr>
        <w:widowControl w:val="0"/>
        <w:spacing w:line="324" w:lineRule="auto"/>
        <w:jc w:val="both"/>
        <w:rPr>
          <w:rFonts w:hint="eastAsia" w:ascii="Times New Roman" w:hAnsi="Times New Roman" w:eastAsia="宋体" w:cs="Times New Roman"/>
          <w:color w:val="auto"/>
          <w:kern w:val="2"/>
          <w:sz w:val="20"/>
          <w:szCs w:val="20"/>
          <w:highlight w:val="none"/>
          <w:lang w:val="en-US" w:eastAsia="zh-CN" w:bidi="ar-SA"/>
        </w:rPr>
      </w:pPr>
    </w:p>
    <w:p w14:paraId="65F2E920">
      <w:pPr>
        <w:widowControl w:val="0"/>
        <w:spacing w:line="324" w:lineRule="auto"/>
        <w:jc w:val="both"/>
        <w:rPr>
          <w:rFonts w:hint="eastAsia" w:ascii="Times New Roman" w:hAnsi="Times New Roman" w:eastAsia="宋体" w:cs="Times New Roman"/>
          <w:color w:val="auto"/>
          <w:kern w:val="2"/>
          <w:sz w:val="20"/>
          <w:szCs w:val="20"/>
          <w:highlight w:val="none"/>
          <w:lang w:val="en-US" w:eastAsia="zh-CN" w:bidi="ar-SA"/>
        </w:rPr>
      </w:pPr>
    </w:p>
    <w:p w14:paraId="59E01188">
      <w:pPr>
        <w:spacing w:line="324" w:lineRule="auto"/>
        <w:rPr>
          <w:rFonts w:hint="eastAsia" w:ascii="Times New Roman" w:hAnsi="宋体" w:eastAsia="宋体" w:cs="宋体"/>
          <w:color w:val="auto"/>
          <w:sz w:val="16"/>
          <w:szCs w:val="20"/>
          <w:highlight w:val="none"/>
        </w:rPr>
      </w:pPr>
    </w:p>
    <w:p w14:paraId="187A7237">
      <w:pPr>
        <w:spacing w:line="324" w:lineRule="auto"/>
        <w:rPr>
          <w:rFonts w:hint="eastAsia" w:ascii="Times New Roman" w:hAnsi="宋体" w:eastAsia="宋体" w:cs="宋体"/>
          <w:color w:val="auto"/>
          <w:sz w:val="16"/>
          <w:szCs w:val="20"/>
          <w:highlight w:val="none"/>
        </w:rPr>
      </w:pPr>
    </w:p>
    <w:p w14:paraId="1A801648">
      <w:pPr>
        <w:spacing w:line="324" w:lineRule="auto"/>
        <w:jc w:val="center"/>
        <w:rPr>
          <w:rFonts w:hint="eastAsia" w:ascii="Times New Roman" w:hAnsi="宋体" w:eastAsia="宋体" w:cs="宋体"/>
          <w:b/>
          <w:color w:val="auto"/>
          <w:sz w:val="24"/>
          <w:szCs w:val="24"/>
          <w:highlight w:val="none"/>
        </w:rPr>
      </w:pPr>
    </w:p>
    <w:p w14:paraId="4569CCE5">
      <w:pPr>
        <w:spacing w:before="163" w:beforeLines="50" w:line="360" w:lineRule="auto"/>
        <w:jc w:val="center"/>
        <w:rPr>
          <w:rFonts w:hint="eastAsia" w:ascii="Times New Roman" w:hAnsi="宋体" w:eastAsia="宋体" w:cs="宋体"/>
          <w:b/>
          <w:bCs/>
          <w:color w:val="auto"/>
          <w:sz w:val="24"/>
          <w:szCs w:val="24"/>
          <w:highlight w:val="none"/>
        </w:rPr>
      </w:pPr>
    </w:p>
    <w:p w14:paraId="08A56939">
      <w:pPr>
        <w:widowControl/>
        <w:kinsoku w:val="0"/>
        <w:autoSpaceDE w:val="0"/>
        <w:autoSpaceDN w:val="0"/>
        <w:adjustRightInd w:val="0"/>
        <w:snapToGrid w:val="0"/>
        <w:spacing w:before="0" w:beforeLines="0" w:line="360" w:lineRule="auto"/>
        <w:ind w:firstLine="2788" w:firstLineChars="992"/>
        <w:jc w:val="left"/>
        <w:textAlignment w:val="baseline"/>
        <w:rPr>
          <w:rFonts w:hint="eastAsia" w:ascii="宋体" w:hAnsi="宋体" w:eastAsia="宋体" w:cs="宋体"/>
          <w:b/>
          <w:bCs/>
          <w:snapToGrid w:val="0"/>
          <w:color w:val="auto"/>
          <w:kern w:val="0"/>
          <w:sz w:val="28"/>
          <w:szCs w:val="28"/>
          <w:highlight w:val="none"/>
          <w:u w:val="single"/>
          <w:lang w:val="en-US" w:eastAsia="zh-CN"/>
        </w:rPr>
      </w:pPr>
      <w:r>
        <w:rPr>
          <w:rFonts w:hint="eastAsia" w:ascii="宋体" w:hAnsi="宋体" w:eastAsia="宋体" w:cs="宋体"/>
          <w:b/>
          <w:bCs/>
          <w:snapToGrid w:val="0"/>
          <w:color w:val="auto"/>
          <w:kern w:val="0"/>
          <w:sz w:val="28"/>
          <w:szCs w:val="28"/>
          <w:highlight w:val="none"/>
          <w:lang w:val="en-US" w:eastAsia="zh-CN"/>
        </w:rPr>
        <w:t>采购人：</w:t>
      </w:r>
      <w:r>
        <w:rPr>
          <w:rFonts w:hint="eastAsia" w:ascii="宋体" w:hAnsi="宋体" w:eastAsia="宋体" w:cs="宋体"/>
          <w:b/>
          <w:bCs/>
          <w:snapToGrid w:val="0"/>
          <w:color w:val="auto"/>
          <w:kern w:val="0"/>
          <w:sz w:val="28"/>
          <w:szCs w:val="28"/>
          <w:highlight w:val="none"/>
          <w:u w:val="single"/>
          <w:lang w:val="en-US" w:eastAsia="zh-CN"/>
        </w:rPr>
        <w:t>陕西省公路局</w:t>
      </w:r>
    </w:p>
    <w:p w14:paraId="5396B9C9">
      <w:pPr>
        <w:widowControl/>
        <w:kinsoku w:val="0"/>
        <w:autoSpaceDE w:val="0"/>
        <w:autoSpaceDN w:val="0"/>
        <w:adjustRightInd w:val="0"/>
        <w:snapToGrid w:val="0"/>
        <w:spacing w:before="0" w:beforeLines="0" w:line="360" w:lineRule="auto"/>
        <w:ind w:firstLine="2788" w:firstLineChars="992"/>
        <w:jc w:val="left"/>
        <w:textAlignment w:val="baseline"/>
        <w:rPr>
          <w:rFonts w:hint="default" w:ascii="宋体" w:hAnsi="宋体" w:eastAsia="宋体" w:cs="宋体"/>
          <w:b/>
          <w:bCs/>
          <w:snapToGrid w:val="0"/>
          <w:color w:val="auto"/>
          <w:kern w:val="0"/>
          <w:sz w:val="28"/>
          <w:szCs w:val="28"/>
          <w:highlight w:val="none"/>
          <w:u w:val="single"/>
          <w:lang w:val="en-US" w:eastAsia="zh-CN"/>
        </w:rPr>
      </w:pPr>
      <w:r>
        <w:rPr>
          <w:rFonts w:hint="eastAsia" w:ascii="宋体" w:hAnsi="宋体" w:eastAsia="宋体" w:cs="宋体"/>
          <w:b/>
          <w:bCs/>
          <w:snapToGrid w:val="0"/>
          <w:color w:val="auto"/>
          <w:kern w:val="0"/>
          <w:sz w:val="28"/>
          <w:szCs w:val="28"/>
          <w:highlight w:val="none"/>
          <w:lang w:val="en-US" w:eastAsia="zh-CN"/>
        </w:rPr>
        <w:t>供应商：</w:t>
      </w:r>
      <w:r>
        <w:rPr>
          <w:rFonts w:hint="eastAsia" w:ascii="宋体" w:hAnsi="宋体" w:eastAsia="宋体" w:cs="宋体"/>
          <w:b/>
          <w:bCs/>
          <w:snapToGrid w:val="0"/>
          <w:color w:val="auto"/>
          <w:kern w:val="0"/>
          <w:sz w:val="28"/>
          <w:szCs w:val="28"/>
          <w:highlight w:val="none"/>
          <w:u w:val="single"/>
          <w:lang w:val="en-US" w:eastAsia="zh-CN"/>
        </w:rPr>
        <w:t xml:space="preserve">            </w:t>
      </w:r>
    </w:p>
    <w:p w14:paraId="32222D7B">
      <w:pPr>
        <w:widowControl/>
        <w:kinsoku w:val="0"/>
        <w:autoSpaceDE w:val="0"/>
        <w:autoSpaceDN w:val="0"/>
        <w:adjustRightInd w:val="0"/>
        <w:snapToGrid w:val="0"/>
        <w:spacing w:before="0" w:beforeLines="0" w:line="360" w:lineRule="auto"/>
        <w:ind w:firstLine="2507" w:firstLineChars="892"/>
        <w:jc w:val="left"/>
        <w:textAlignment w:val="baseline"/>
        <w:rPr>
          <w:rFonts w:hint="eastAsia" w:ascii="宋体" w:hAnsi="宋体" w:eastAsia="宋体" w:cs="宋体"/>
          <w:b/>
          <w:bCs/>
          <w:snapToGrid w:val="0"/>
          <w:color w:val="auto"/>
          <w:kern w:val="0"/>
          <w:sz w:val="28"/>
          <w:szCs w:val="28"/>
          <w:highlight w:val="none"/>
          <w:lang w:val="en-US" w:eastAsia="zh-CN"/>
        </w:rPr>
      </w:pPr>
    </w:p>
    <w:p w14:paraId="548D7278">
      <w:pPr>
        <w:widowControl/>
        <w:kinsoku w:val="0"/>
        <w:autoSpaceDE w:val="0"/>
        <w:autoSpaceDN w:val="0"/>
        <w:adjustRightInd w:val="0"/>
        <w:snapToGrid w:val="0"/>
        <w:spacing w:before="0" w:beforeLines="0" w:line="360" w:lineRule="auto"/>
        <w:ind w:firstLine="3351" w:firstLineChars="1192"/>
        <w:jc w:val="center"/>
        <w:textAlignment w:val="baseline"/>
        <w:rPr>
          <w:rFonts w:ascii="仿宋" w:hAnsi="仿宋" w:eastAsia="仿宋" w:cs="仿宋"/>
          <w:b/>
          <w:bCs/>
          <w:color w:val="auto"/>
          <w:sz w:val="36"/>
          <w:szCs w:val="36"/>
          <w:highlight w:val="none"/>
          <w:lang w:eastAsia="zh-CN"/>
        </w:rPr>
      </w:pPr>
      <w:r>
        <w:rPr>
          <w:rFonts w:hint="eastAsia" w:ascii="宋体" w:hAnsi="宋体" w:eastAsia="宋体" w:cs="宋体"/>
          <w:b/>
          <w:bCs/>
          <w:snapToGrid w:val="0"/>
          <w:color w:val="auto"/>
          <w:kern w:val="0"/>
          <w:sz w:val="28"/>
          <w:szCs w:val="28"/>
          <w:highlight w:val="none"/>
          <w:lang w:val="en-US" w:eastAsia="zh-CN"/>
        </w:rPr>
        <w:t>二〇二六年  月</w:t>
      </w:r>
      <w:r>
        <w:rPr>
          <w:rFonts w:hint="eastAsia" w:ascii="Times New Roman" w:hAnsi="宋体" w:eastAsia="宋体" w:cs="宋体"/>
          <w:b/>
          <w:bCs/>
          <w:color w:val="auto"/>
          <w:sz w:val="24"/>
          <w:szCs w:val="24"/>
          <w:highlight w:val="none"/>
        </w:rPr>
        <w:br w:type="page"/>
      </w:r>
      <w:r>
        <w:rPr>
          <w:rFonts w:hint="eastAsia" w:ascii="宋体" w:hAnsi="宋体" w:eastAsia="宋体" w:cs="宋体"/>
          <w:b/>
          <w:bCs/>
          <w:color w:val="auto"/>
          <w:sz w:val="36"/>
          <w:szCs w:val="36"/>
          <w:highlight w:val="none"/>
          <w:lang w:eastAsia="zh-CN"/>
        </w:rPr>
        <w:t>合同协议书</w:t>
      </w:r>
    </w:p>
    <w:p w14:paraId="15016D1C">
      <w:pPr>
        <w:spacing w:line="360" w:lineRule="auto"/>
        <w:ind w:firstLine="482" w:firstLineChars="200"/>
        <w:rPr>
          <w:rFonts w:hint="eastAsia" w:ascii="宋体" w:hAnsi="宋体" w:eastAsia="宋体" w:cs="宋体"/>
          <w:b/>
          <w:bCs/>
          <w:color w:val="auto"/>
          <w:sz w:val="24"/>
          <w:szCs w:val="24"/>
          <w:highlight w:val="none"/>
          <w:u w:val="none"/>
        </w:rPr>
      </w:pPr>
    </w:p>
    <w:p w14:paraId="6257DC4F">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rPr>
        <w:t>甲方（采购人）：</w:t>
      </w:r>
      <w:r>
        <w:rPr>
          <w:rFonts w:hint="eastAsia" w:ascii="宋体" w:hAnsi="宋体" w:eastAsia="宋体" w:cs="宋体"/>
          <w:b/>
          <w:bCs/>
          <w:color w:val="auto"/>
          <w:sz w:val="24"/>
          <w:szCs w:val="24"/>
          <w:highlight w:val="none"/>
          <w:u w:val="single"/>
        </w:rPr>
        <w:t>陕西省公路局</w:t>
      </w:r>
    </w:p>
    <w:p w14:paraId="311FE370">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rPr>
        <w:t>乙方（供应商）：</w:t>
      </w:r>
      <w:r>
        <w:rPr>
          <w:rFonts w:hint="eastAsia" w:ascii="宋体" w:hAnsi="宋体" w:eastAsia="宋体" w:cs="宋体"/>
          <w:b/>
          <w:bCs/>
          <w:color w:val="auto"/>
          <w:sz w:val="24"/>
          <w:szCs w:val="24"/>
          <w:highlight w:val="none"/>
          <w:u w:val="single"/>
          <w:lang w:val="en-US" w:eastAsia="zh-CN"/>
        </w:rPr>
        <w:t xml:space="preserve">            </w:t>
      </w:r>
    </w:p>
    <w:p w14:paraId="274B1CE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中华人民共和国政府采购法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及其他有关法律、法规， 遵循平等、自愿、公平和诚信的原则， 双方就下述项目范围与相关服务事项协商一致， 订立本合同。</w:t>
      </w:r>
    </w:p>
    <w:p w14:paraId="18D05BBB">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一、项目概况</w:t>
      </w:r>
    </w:p>
    <w:p w14:paraId="51968B46">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农村公路初步设计文件审查</w:t>
      </w:r>
    </w:p>
    <w:p w14:paraId="4FCE1837">
      <w:pPr>
        <w:pageBreakBefore w:val="0"/>
        <w:wordWrap/>
        <w:overflowPunct/>
        <w:topLinePunct w:val="0"/>
        <w:autoSpaceDE/>
        <w:autoSpaceDN/>
        <w:bidi w:val="0"/>
        <w:spacing w:line="52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（二）项目地点：</w:t>
      </w:r>
      <w:r>
        <w:rPr>
          <w:rFonts w:hint="eastAsia" w:ascii="宋体" w:hAnsi="宋体" w:eastAsia="宋体" w:cs="宋体"/>
          <w:color w:val="auto"/>
          <w:sz w:val="24"/>
          <w:szCs w:val="24"/>
          <w:highlight w:val="none"/>
          <w:u w:val="single"/>
          <w:lang w:val="en-US" w:eastAsia="zh-CN"/>
        </w:rPr>
        <w:t>甲方指定地点</w:t>
      </w:r>
      <w:r>
        <w:rPr>
          <w:rFonts w:hint="eastAsia" w:ascii="宋体" w:hAnsi="宋体" w:eastAsia="宋体" w:cs="宋体"/>
          <w:color w:val="auto"/>
          <w:sz w:val="24"/>
          <w:szCs w:val="24"/>
          <w:highlight w:val="none"/>
          <w:lang w:val="en-US" w:eastAsia="zh-CN"/>
        </w:rPr>
        <w:t xml:space="preserve"> </w:t>
      </w:r>
    </w:p>
    <w:p w14:paraId="5D4C8927">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服务内容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2026年全省拟实施的二级及以上农村公路新改建工程</w:t>
      </w:r>
      <w:r>
        <w:rPr>
          <w:rFonts w:hint="eastAsia" w:ascii="宋体" w:hAnsi="宋体" w:eastAsia="宋体" w:cs="宋体"/>
          <w:color w:val="auto"/>
          <w:sz w:val="24"/>
          <w:szCs w:val="24"/>
          <w:highlight w:val="none"/>
          <w:u w:val="single"/>
          <w:lang w:eastAsia="zh-CN"/>
        </w:rPr>
        <w:t>，独立大桥、特大桥或特殊结构桥梁，以及独立隧道或含隧道工程等项目的初步设计文件技术审查咨询工作，具体</w:t>
      </w:r>
      <w:r>
        <w:rPr>
          <w:rFonts w:hint="eastAsia" w:ascii="宋体" w:hAnsi="宋体" w:eastAsia="宋体" w:cs="宋体"/>
          <w:color w:val="auto"/>
          <w:sz w:val="24"/>
          <w:szCs w:val="24"/>
          <w:highlight w:val="none"/>
          <w:u w:val="single"/>
          <w:lang w:val="en-US" w:eastAsia="zh-CN"/>
        </w:rPr>
        <w:t>服务</w:t>
      </w:r>
      <w:r>
        <w:rPr>
          <w:rFonts w:hint="eastAsia" w:ascii="宋体" w:hAnsi="宋体" w:eastAsia="宋体" w:cs="宋体"/>
          <w:color w:val="auto"/>
          <w:sz w:val="24"/>
          <w:szCs w:val="24"/>
          <w:highlight w:val="none"/>
          <w:u w:val="single"/>
          <w:lang w:eastAsia="zh-CN"/>
        </w:rPr>
        <w:t>内容及要求详见竞争性磋商文件。</w:t>
      </w:r>
    </w:p>
    <w:p w14:paraId="37908540">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、合同金额</w:t>
      </w:r>
    </w:p>
    <w:p w14:paraId="3EA7F1FF">
      <w:pPr>
        <w:pStyle w:val="7"/>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（一）合同暂定价款(含税价): 人民币__________元（¥__________元），该暂定价仅作为履约参考，本项目最终合同支付金额，按合同签订后一年内，采购人实际委托给乙方的工作内容所对应项目总投资的区间，支付该区间乙方的磋商最终报价（即对应档位的乙方报价）；项目总投资区间划分严格对应本合同约定的三档范围，按对应档位乙方最终磋商报价据实支付。</w:t>
      </w:r>
    </w:p>
    <w:p w14:paraId="1AE6203E">
      <w:pPr>
        <w:pStyle w:val="7"/>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二）合同价格为含税价，乙方报价包含完成本项目所需的全部费用（包括但不限于劳务费、税费、专家咨询费、现场勘查费、报告编制费、差旅费、办公费等一切相关费用），甲方无需再向乙方支付其他任何费用。</w:t>
      </w:r>
    </w:p>
    <w:p w14:paraId="194E11F1">
      <w:pPr>
        <w:pStyle w:val="7"/>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（三）具体限价及乙方最终磋商报价内容：</w:t>
      </w:r>
    </w:p>
    <w:p w14:paraId="707B3146">
      <w:pPr>
        <w:pStyle w:val="7"/>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1.项目总投资5亿元及以下：最高限价38万元，乙方最终磋商报价：__________万元；</w:t>
      </w:r>
    </w:p>
    <w:p w14:paraId="3A985AD0">
      <w:pPr>
        <w:pStyle w:val="7"/>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2.项目总投资5亿元-10亿元（含10亿元）：最高限价42万元，乙方最终磋商报价：__________万元；</w:t>
      </w:r>
    </w:p>
    <w:p w14:paraId="41D0E340">
      <w:pPr>
        <w:pStyle w:val="7"/>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3.项目总投资10亿元及以上：最高限价46万元，乙方最终磋商报价：__________万元。</w:t>
      </w:r>
    </w:p>
    <w:p w14:paraId="1CB677A2">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、服务</w:t>
      </w:r>
      <w:r>
        <w:rPr>
          <w:rFonts w:hint="eastAsia" w:ascii="宋体" w:hAnsi="宋体" w:eastAsia="宋体" w:cs="宋体"/>
          <w:b/>
          <w:bCs/>
          <w:color w:val="auto"/>
          <w:sz w:val="24"/>
          <w:szCs w:val="24"/>
          <w:highlight w:val="none"/>
          <w:lang w:val="en-US" w:eastAsia="zh-CN"/>
        </w:rPr>
        <w:t>期限</w:t>
      </w:r>
    </w:p>
    <w:p w14:paraId="179D9759">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合同服务期为</w:t>
      </w:r>
      <w:r>
        <w:rPr>
          <w:rFonts w:hint="eastAsia" w:ascii="宋体" w:hAnsi="宋体" w:eastAsia="宋体" w:cs="宋体"/>
          <w:color w:val="auto"/>
          <w:sz w:val="24"/>
          <w:szCs w:val="24"/>
          <w:highlight w:val="none"/>
          <w:lang w:eastAsia="zh-CN"/>
        </w:rPr>
        <w:t>自合同签订生效之日起一年。</w:t>
      </w:r>
    </w:p>
    <w:p w14:paraId="26EA4FC6">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四、结算方式</w:t>
      </w:r>
    </w:p>
    <w:p w14:paraId="5134B8D7">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结算单位:</w:t>
      </w:r>
    </w:p>
    <w:p w14:paraId="7CEC002D">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由甲方负责结算。</w:t>
      </w:r>
      <w:r>
        <w:rPr>
          <w:rFonts w:hint="eastAsia" w:ascii="宋体" w:hAnsi="宋体" w:eastAsia="宋体" w:cs="宋体"/>
          <w:color w:val="auto"/>
          <w:sz w:val="24"/>
          <w:szCs w:val="24"/>
          <w:highlight w:val="none"/>
          <w:lang w:val="en-US" w:eastAsia="zh-CN"/>
        </w:rPr>
        <w:t>费用结算采用银行转账方式，分期付款。</w:t>
      </w:r>
    </w:p>
    <w:p w14:paraId="32639621">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乙方应在甲方每次付款前，按照甲方要求的发票类型和金额，向甲方开具合法有效的发票，税费由乙方承担。否则，甲方有权拒绝付款且不承担迟延支付的违约责任。</w:t>
      </w:r>
    </w:p>
    <w:p w14:paraId="098B55E4">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付款方式:</w:t>
      </w:r>
    </w:p>
    <w:p w14:paraId="01AC821D">
      <w:pPr>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1.双方签订合同后，甲方收到乙方缴纳的履约保证金及符合要求的发票后，支付合同总金额的60.00%。</w:t>
      </w:r>
    </w:p>
    <w:p w14:paraId="636473BE">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eastAsia="zh-CN"/>
        </w:rPr>
        <w:t>2.提交项目全部成果，经甲方确认合格且无任何争议后，甲方按乙方完成实际工作量(咨询项目累计投资总额)对应档位报价费用总额支付剩余金额。甲方每次付款前，乙方均应开具等额的税务发票，否则，甲方有权拒绝付款且不承担迟延支付的违约责任。</w:t>
      </w:r>
    </w:p>
    <w:p w14:paraId="1A627FDB">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五、主要工作内容</w:t>
      </w:r>
    </w:p>
    <w:p w14:paraId="25731C3B">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一、总则</w:t>
      </w:r>
    </w:p>
    <w:p w14:paraId="563B33A3">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1.初步设计审查工作应按照供应商对各拟建项目初步设计文件进行符合性审查、文件审查，组织现场审查，供应商提交技术咨询报告的程序进行。</w:t>
      </w:r>
    </w:p>
    <w:p w14:paraId="4357F8B3">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2.技术咨询过程中的文件交接、重大问题沟通实行痕迹管理，关键环节的文件提交、意见交流等，应通过签字、传真或邮件等方式加以确认。</w:t>
      </w:r>
    </w:p>
    <w:p w14:paraId="5D57B2A2">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3.供应商应严格执行国家有关规定，不得转嫁技术咨询工作成本。</w:t>
      </w:r>
    </w:p>
    <w:p w14:paraId="1272C08B">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二、对供应商的总体要求</w:t>
      </w:r>
    </w:p>
    <w:p w14:paraId="1FC0550E">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1.承担技术咨询任务的供应商，应结合本单位管理模式和发包人技术咨询任务的要求，在企业内部明确相应的技术咨询部门，建立明确的发包人技术咨询任务内部管理模式，理顺工作关系，建立健全质量保证体系，保证审查工作质量和进度。</w:t>
      </w:r>
    </w:p>
    <w:p w14:paraId="746BD6D6">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2.供应商应明确足够的、相对固定的技术人员，作为完成发包人技术咨询任务的基本力量。技术人员基本情况及变动情况在采购后发生变化时，应及时报发包人备案。供应商应加强对参与发包人技术咨询任务技术人员（以下简称“审查人员”）的廉政、职业道德、法律知识和业务培训。</w:t>
      </w:r>
    </w:p>
    <w:p w14:paraId="67015074">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审查人员应当遵守国家法律法规，坚持原则，恪守职业道德，客观公正，责任心强，专业素质高，掌握公路工程技术标准、规范和有关技术政策，积极学习和了解国外先进的公路工程设计、施工和管理技术，能够熟练运用成熟技术和现代工程管理理念。</w:t>
      </w:r>
    </w:p>
    <w:p w14:paraId="50629BBD">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4.供应商不得参与其承担技术咨询服务项目的其他任何采购活动。</w:t>
      </w:r>
    </w:p>
    <w:p w14:paraId="1475CA09">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三、符合性审查</w:t>
      </w:r>
    </w:p>
    <w:p w14:paraId="302EA5C6">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1.符合性审查的内容主要包括：</w:t>
      </w:r>
    </w:p>
    <w:p w14:paraId="7C20F097">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（1）项目政策执行情况，土地、环评等项目前置审批是否已完成。</w:t>
      </w:r>
    </w:p>
    <w:p w14:paraId="1707B892">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（2）设计文件完整性是否满足相关要求。</w:t>
      </w:r>
    </w:p>
    <w:p w14:paraId="13F01CC7">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（3）建设规模、技术标准、概算等是否符合方案设计要求和《公路工程技术标准》的规定。</w:t>
      </w:r>
    </w:p>
    <w:p w14:paraId="3705FC4D">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（4）设计文件是否按照国家现行有关方针政策、法律、法规、标准及规范要求编制，是否满足先进、适用、安全、节能、消防、环境、美观、经济的原则。</w:t>
      </w:r>
    </w:p>
    <w:p w14:paraId="317D4EDF">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四、设计文件审查</w:t>
      </w:r>
    </w:p>
    <w:p w14:paraId="26242AF7">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1.方案设计文件审查应按照“安全、耐久、节约、和谐”的原则，围绕保证项目建设、运营安全，合理使用资金和资源，最大限度的保护公众利益，使公路基础设施能够更好的为经济社会发展和出行需求服务这一目标，对方案合理性、运行安全性、结构可靠性和投资控制情况进行审查。审查工作主要应包括但不限于以下内容：</w:t>
      </w:r>
    </w:p>
    <w:p w14:paraId="728A02B3">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（1）总体设计原则和思路的合理性，与建设环境和公路功能的适应性。</w:t>
      </w:r>
    </w:p>
    <w:p w14:paraId="49233008">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（2）设计依据的基本资料是否完整、准确、可靠。</w:t>
      </w:r>
    </w:p>
    <w:p w14:paraId="08EBD2BA">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（3）方案比选的合理性和全面性，技术指标运用的合理性。</w:t>
      </w:r>
    </w:p>
    <w:p w14:paraId="4654EDF6">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（4）设计文件编制深度和格式，附件、协议等资料的齐全、完备情况。专业间设计的协调性，设计界面衔接情况，设计与外业勘察成果的衔接情况。</w:t>
      </w:r>
    </w:p>
    <w:p w14:paraId="15B11774">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（5）结构安全、耐久性。</w:t>
      </w:r>
    </w:p>
    <w:p w14:paraId="2272244D">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（6）概算定额套用、人工和材料单价以及费率取值的合理性，征地拆迁等工程建设其他费用取费依据的完备性和取费的合理性。</w:t>
      </w:r>
    </w:p>
    <w:p w14:paraId="219C8F9B">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2.审查过程中发现设计文件存在以下问题的，应及时与设计单位沟通核实。问题确认后，应及时报发包人，并提出处理建议。发包人将根据具体情况，要求设计单位补充完善，或退回要求重新修改后再次预审、报送。</w:t>
      </w:r>
    </w:p>
    <w:p w14:paraId="1819C4A1">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（1）总体设计不合理，与建设条件适应性差，或不能满足项目的功能要求；</w:t>
      </w:r>
    </w:p>
    <w:p w14:paraId="4FDD76A4">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（2）方案比选不充分，遗漏重大有价值的技术方案；</w:t>
      </w:r>
    </w:p>
    <w:p w14:paraId="14CE7343">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（3）设计工作与实际路况出现严重脱节；</w:t>
      </w:r>
    </w:p>
    <w:p w14:paraId="353DEABE">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（4）设计文件编制质量差，错漏多。</w:t>
      </w:r>
    </w:p>
    <w:p w14:paraId="143134C4">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五、现场审查</w:t>
      </w:r>
    </w:p>
    <w:p w14:paraId="5F136891">
      <w:pPr>
        <w:pStyle w:val="7"/>
        <w:spacing w:line="360" w:lineRule="auto"/>
        <w:ind w:firstLine="480" w:firstLineChars="200"/>
        <w:jc w:val="left"/>
        <w:rPr>
          <w:rFonts w:ascii="宋体" w:hAnsi="宋体" w:eastAsia="宋体" w:cs="宋体"/>
          <w:color w:val="0000FF"/>
          <w:sz w:val="24"/>
          <w:szCs w:val="24"/>
          <w:highlight w:val="none"/>
          <w:lang w:eastAsia="zh-CN"/>
        </w:rPr>
      </w:pPr>
      <w:r>
        <w:rPr>
          <w:rFonts w:ascii="宋体" w:hAnsi="宋体" w:eastAsia="宋体" w:cs="宋体"/>
          <w:color w:val="0000FF"/>
          <w:kern w:val="0"/>
          <w:sz w:val="24"/>
          <w:szCs w:val="24"/>
          <w:highlight w:val="none"/>
          <w:lang w:val="en-US" w:eastAsia="zh-CN" w:bidi="ar"/>
        </w:rPr>
        <w:t>现场审查工作在设计文件审查完成后进行，由</w:t>
      </w:r>
      <w:r>
        <w:rPr>
          <w:rFonts w:hint="eastAsia" w:ascii="宋体" w:hAnsi="宋体" w:eastAsia="宋体" w:cs="宋体"/>
          <w:color w:val="0000FF"/>
          <w:kern w:val="0"/>
          <w:sz w:val="24"/>
          <w:szCs w:val="24"/>
          <w:highlight w:val="none"/>
          <w:lang w:val="en-US" w:eastAsia="zh-CN" w:bidi="ar"/>
        </w:rPr>
        <w:t>采购人</w:t>
      </w:r>
      <w:r>
        <w:rPr>
          <w:rFonts w:ascii="宋体" w:hAnsi="宋体" w:eastAsia="宋体" w:cs="宋体"/>
          <w:color w:val="0000FF"/>
          <w:kern w:val="0"/>
          <w:sz w:val="24"/>
          <w:szCs w:val="24"/>
          <w:highlight w:val="none"/>
          <w:lang w:val="en-US" w:eastAsia="zh-CN" w:bidi="ar"/>
        </w:rPr>
        <w:t>主持。现场审查应听取设计单位的设计情况汇报，对重要工点和有争议的工点进行现场踏查，现场完成审查意见。</w:t>
      </w:r>
    </w:p>
    <w:p w14:paraId="10651191">
      <w:pPr>
        <w:pStyle w:val="7"/>
        <w:spacing w:line="360" w:lineRule="auto"/>
        <w:ind w:firstLine="480" w:firstLineChars="200"/>
        <w:jc w:val="left"/>
        <w:rPr>
          <w:rFonts w:ascii="宋体" w:hAnsi="宋体" w:eastAsia="宋体" w:cs="宋体"/>
          <w:color w:val="0000FF"/>
          <w:sz w:val="24"/>
          <w:szCs w:val="24"/>
          <w:highlight w:val="none"/>
          <w:lang w:eastAsia="zh-CN"/>
        </w:rPr>
      </w:pPr>
      <w:r>
        <w:rPr>
          <w:rFonts w:ascii="宋体" w:hAnsi="宋体" w:eastAsia="宋体" w:cs="宋体"/>
          <w:b w:val="0"/>
          <w:bCs w:val="0"/>
          <w:color w:val="0000FF"/>
          <w:kern w:val="0"/>
          <w:sz w:val="24"/>
          <w:szCs w:val="24"/>
          <w:highlight w:val="none"/>
          <w:lang w:val="en-US" w:eastAsia="zh-CN" w:bidi="ar"/>
        </w:rPr>
        <w:t>专家配合与费用承担</w:t>
      </w:r>
      <w:r>
        <w:rPr>
          <w:rFonts w:ascii="宋体" w:hAnsi="宋体" w:eastAsia="宋体" w:cs="宋体"/>
          <w:color w:val="0000FF"/>
          <w:kern w:val="0"/>
          <w:sz w:val="24"/>
          <w:szCs w:val="24"/>
          <w:highlight w:val="none"/>
          <w:lang w:val="en-US" w:eastAsia="zh-CN" w:bidi="ar"/>
        </w:rPr>
        <w:t>在本项目设计文件现场审查阶段，无论何种原因需要邀请外部专家参与审查、踏勘、论证或技术咨询工作的，均由</w:t>
      </w:r>
      <w:r>
        <w:rPr>
          <w:rFonts w:hint="eastAsia" w:ascii="宋体" w:hAnsi="宋体" w:eastAsia="宋体" w:cs="宋体"/>
          <w:color w:val="0000FF"/>
          <w:kern w:val="0"/>
          <w:sz w:val="24"/>
          <w:szCs w:val="24"/>
          <w:highlight w:val="none"/>
          <w:lang w:val="en-US" w:eastAsia="zh-CN" w:bidi="ar"/>
        </w:rPr>
        <w:t>供应商</w:t>
      </w:r>
      <w:r>
        <w:rPr>
          <w:rFonts w:ascii="宋体" w:hAnsi="宋体" w:eastAsia="宋体" w:cs="宋体"/>
          <w:color w:val="0000FF"/>
          <w:kern w:val="0"/>
          <w:sz w:val="24"/>
          <w:szCs w:val="24"/>
          <w:highlight w:val="none"/>
          <w:lang w:val="en-US" w:eastAsia="zh-CN" w:bidi="ar"/>
        </w:rPr>
        <w:t>负责组织实施并承担全部相关费用。具体包括：</w:t>
      </w:r>
    </w:p>
    <w:p w14:paraId="61BCE44C">
      <w:pPr>
        <w:pStyle w:val="7"/>
        <w:spacing w:line="360" w:lineRule="auto"/>
        <w:ind w:firstLine="480" w:firstLineChars="200"/>
        <w:jc w:val="left"/>
        <w:rPr>
          <w:rFonts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专家遴选与联系：根据</w:t>
      </w:r>
      <w:r>
        <w:rPr>
          <w:rFonts w:hint="eastAsia" w:ascii="宋体" w:hAnsi="宋体" w:eastAsia="宋体" w:cs="宋体"/>
          <w:color w:val="0000FF"/>
          <w:sz w:val="24"/>
          <w:szCs w:val="24"/>
          <w:highlight w:val="none"/>
          <w:lang w:val="en-US" w:eastAsia="zh-CN"/>
        </w:rPr>
        <w:t>采购人</w:t>
      </w:r>
      <w:r>
        <w:rPr>
          <w:rFonts w:ascii="宋体" w:hAnsi="宋体" w:eastAsia="宋体" w:cs="宋体"/>
          <w:color w:val="0000FF"/>
          <w:sz w:val="24"/>
          <w:szCs w:val="24"/>
          <w:highlight w:val="none"/>
          <w:lang w:eastAsia="zh-CN"/>
        </w:rPr>
        <w:t>提出的专业要求和人数，从相应行业专家库中选取并联系符合条件的专家，专家人选需经</w:t>
      </w:r>
      <w:r>
        <w:rPr>
          <w:rFonts w:hint="eastAsia" w:ascii="宋体" w:hAnsi="宋体" w:eastAsia="宋体" w:cs="宋体"/>
          <w:color w:val="0000FF"/>
          <w:sz w:val="24"/>
          <w:szCs w:val="24"/>
          <w:highlight w:val="none"/>
          <w:lang w:val="en-US" w:eastAsia="zh-CN"/>
        </w:rPr>
        <w:t>采购人</w:t>
      </w:r>
      <w:r>
        <w:rPr>
          <w:rFonts w:ascii="宋体" w:hAnsi="宋体" w:eastAsia="宋体" w:cs="宋体"/>
          <w:color w:val="0000FF"/>
          <w:sz w:val="24"/>
          <w:szCs w:val="24"/>
          <w:highlight w:val="none"/>
          <w:lang w:eastAsia="zh-CN"/>
        </w:rPr>
        <w:t>书面确认；</w:t>
      </w:r>
    </w:p>
    <w:p w14:paraId="1CA0AC7C">
      <w:pPr>
        <w:pStyle w:val="7"/>
        <w:spacing w:line="360" w:lineRule="auto"/>
        <w:ind w:firstLine="480" w:firstLineChars="200"/>
        <w:jc w:val="left"/>
        <w:rPr>
          <w:rFonts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前期准备工作：提前3个工作日向专家送达完整的设计文件、计算书、地质勘察报告等技术资料，准备审查会议所需的各类材料；</w:t>
      </w:r>
    </w:p>
    <w:p w14:paraId="3E5407E9">
      <w:pPr>
        <w:pStyle w:val="7"/>
        <w:spacing w:line="360" w:lineRule="auto"/>
        <w:ind w:firstLine="480" w:firstLineChars="200"/>
        <w:jc w:val="left"/>
        <w:rPr>
          <w:rFonts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现场保障工作：负责专家往返交通、食宿安排，提供审查会议场地及必要的办公设备；</w:t>
      </w:r>
    </w:p>
    <w:p w14:paraId="087E08C5">
      <w:pPr>
        <w:pStyle w:val="7"/>
        <w:spacing w:line="360" w:lineRule="auto"/>
        <w:ind w:firstLine="480" w:firstLineChars="200"/>
        <w:jc w:val="left"/>
        <w:rPr>
          <w:rFonts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技术配合工作：指派项目负责人及主要设计人员全程参加审查会议和现场踏勘，对专家提出的问题进行详细解答和说明；</w:t>
      </w:r>
    </w:p>
    <w:p w14:paraId="67EE14D0">
      <w:pPr>
        <w:pStyle w:val="7"/>
        <w:spacing w:line="360" w:lineRule="auto"/>
        <w:ind w:firstLine="480" w:firstLineChars="200"/>
        <w:jc w:val="left"/>
        <w:rPr>
          <w:rFonts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资料整理工作：负责整理专家审查意见并形成正式书面文件，提交</w:t>
      </w:r>
      <w:r>
        <w:rPr>
          <w:rFonts w:hint="eastAsia" w:ascii="宋体" w:hAnsi="宋体" w:eastAsia="宋体" w:cs="宋体"/>
          <w:color w:val="0000FF"/>
          <w:sz w:val="24"/>
          <w:szCs w:val="24"/>
          <w:highlight w:val="none"/>
          <w:lang w:val="en-US" w:eastAsia="zh-CN"/>
        </w:rPr>
        <w:t>采购人</w:t>
      </w:r>
      <w:r>
        <w:rPr>
          <w:rFonts w:ascii="宋体" w:hAnsi="宋体" w:eastAsia="宋体" w:cs="宋体"/>
          <w:color w:val="0000FF"/>
          <w:sz w:val="24"/>
          <w:szCs w:val="24"/>
          <w:highlight w:val="none"/>
          <w:lang w:eastAsia="zh-CN"/>
        </w:rPr>
        <w:t>存档。</w:t>
      </w:r>
    </w:p>
    <w:p w14:paraId="3F4FC78D">
      <w:pPr>
        <w:pStyle w:val="7"/>
        <w:spacing w:line="360" w:lineRule="auto"/>
        <w:ind w:firstLine="480" w:firstLineChars="200"/>
        <w:jc w:val="left"/>
        <w:rPr>
          <w:rFonts w:ascii="宋体" w:hAnsi="宋体" w:eastAsia="宋体" w:cs="宋体"/>
          <w:color w:val="0000FF"/>
          <w:sz w:val="24"/>
          <w:szCs w:val="24"/>
          <w:highlight w:val="none"/>
          <w:lang w:eastAsia="zh-CN"/>
        </w:rPr>
      </w:pPr>
      <w:r>
        <w:rPr>
          <w:rFonts w:hint="eastAsia" w:ascii="宋体" w:hAnsi="宋体" w:eastAsia="宋体" w:cs="宋体"/>
          <w:color w:val="0000FF"/>
          <w:kern w:val="0"/>
          <w:sz w:val="24"/>
          <w:szCs w:val="24"/>
          <w:highlight w:val="none"/>
          <w:lang w:val="en-US" w:eastAsia="zh-CN" w:bidi="ar"/>
        </w:rPr>
        <w:t>供应商负责</w:t>
      </w:r>
      <w:r>
        <w:rPr>
          <w:rFonts w:ascii="宋体" w:hAnsi="宋体" w:eastAsia="宋体" w:cs="宋体"/>
          <w:color w:val="0000FF"/>
          <w:kern w:val="0"/>
          <w:sz w:val="24"/>
          <w:szCs w:val="24"/>
          <w:highlight w:val="none"/>
          <w:lang w:val="en-US" w:eastAsia="zh-CN" w:bidi="ar"/>
        </w:rPr>
        <w:t>上述所有工作产生的费用，包括专家劳务费、交通费、住宿费、餐费、资料费、会议费等一切相关支出，均已包含在本项目</w:t>
      </w:r>
      <w:r>
        <w:rPr>
          <w:rFonts w:hint="eastAsia" w:ascii="宋体" w:hAnsi="宋体" w:eastAsia="宋体" w:cs="宋体"/>
          <w:color w:val="0000FF"/>
          <w:kern w:val="0"/>
          <w:sz w:val="24"/>
          <w:szCs w:val="24"/>
          <w:highlight w:val="none"/>
          <w:lang w:val="en-US" w:eastAsia="zh-CN" w:bidi="ar"/>
        </w:rPr>
        <w:t>最终磋商</w:t>
      </w:r>
      <w:r>
        <w:rPr>
          <w:rFonts w:ascii="宋体" w:hAnsi="宋体" w:eastAsia="宋体" w:cs="宋体"/>
          <w:color w:val="0000FF"/>
          <w:kern w:val="0"/>
          <w:sz w:val="24"/>
          <w:szCs w:val="24"/>
          <w:highlight w:val="none"/>
          <w:lang w:val="en-US" w:eastAsia="zh-CN" w:bidi="ar"/>
        </w:rPr>
        <w:t>报价中。</w:t>
      </w:r>
    </w:p>
    <w:p w14:paraId="59CE74B6">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六、提交咨询报告</w:t>
      </w:r>
    </w:p>
    <w:p w14:paraId="267EF6DB">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咨询报告应结构清晰，内容精干，符合国家有关政策导向。能够清晰描述工程全貌，准确定性设计存在的问题，明确提出对相关技术问题的意见。提出的建议应科学合理、论证清晰。报告格式符合发包人要求。</w:t>
      </w:r>
    </w:p>
    <w:p w14:paraId="41813DBE">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七、报告核查</w:t>
      </w:r>
    </w:p>
    <w:p w14:paraId="69001C66">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1.收到正式咨询报告后，发包人相关承办人应对咨询报告内容进行核查，对存在问题和不足的，应要求供应商予以补充和完善。</w:t>
      </w:r>
    </w:p>
    <w:p w14:paraId="540109C0">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2.发包人可以组织专家或通过后评价，对技术咨询报告的质量进行评价，对技术咨询的过程进行检查。</w:t>
      </w:r>
    </w:p>
    <w:p w14:paraId="63369B13">
      <w:pPr>
        <w:pStyle w:val="7"/>
        <w:spacing w:line="360" w:lineRule="auto"/>
        <w:ind w:firstLine="480" w:firstLineChars="200"/>
        <w:jc w:val="left"/>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3.咨询单位应从设计单位人员投入、设计质量、政策技术标准执行等方面，按优秀、良好、一般各占约30%比例，对设计单位进行评价排名，并提供书面意见。</w:t>
      </w:r>
    </w:p>
    <w:p w14:paraId="5175A7E9">
      <w:pPr>
        <w:pStyle w:val="7"/>
        <w:spacing w:line="360" w:lineRule="auto"/>
        <w:ind w:firstLine="482" w:firstLineChars="200"/>
        <w:jc w:val="left"/>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lang w:val="en-US" w:eastAsia="zh-CN"/>
        </w:rPr>
        <w:t>八、人员配置要求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3819"/>
      </w:tblGrid>
      <w:tr w14:paraId="1BA4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2260" w:type="dxa"/>
            <w:noWrap w:val="0"/>
            <w:tcMar>
              <w:top w:w="0" w:type="dxa"/>
              <w:left w:w="105" w:type="dxa"/>
              <w:bottom w:w="0" w:type="dxa"/>
              <w:right w:w="105" w:type="dxa"/>
            </w:tcMar>
            <w:vAlign w:val="center"/>
          </w:tcPr>
          <w:p w14:paraId="65DA3F34">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人  员</w:t>
            </w:r>
          </w:p>
        </w:tc>
        <w:tc>
          <w:tcPr>
            <w:tcW w:w="3819" w:type="dxa"/>
            <w:noWrap w:val="0"/>
            <w:tcMar>
              <w:top w:w="0" w:type="dxa"/>
              <w:left w:w="105" w:type="dxa"/>
              <w:bottom w:w="0" w:type="dxa"/>
              <w:right w:w="105" w:type="dxa"/>
            </w:tcMar>
            <w:vAlign w:val="center"/>
          </w:tcPr>
          <w:p w14:paraId="590005A1">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数量要求</w:t>
            </w:r>
          </w:p>
        </w:tc>
      </w:tr>
      <w:tr w14:paraId="02E2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2260" w:type="dxa"/>
            <w:noWrap w:val="0"/>
            <w:tcMar>
              <w:top w:w="0" w:type="dxa"/>
              <w:left w:w="105" w:type="dxa"/>
              <w:bottom w:w="0" w:type="dxa"/>
              <w:right w:w="105" w:type="dxa"/>
            </w:tcMar>
            <w:vAlign w:val="center"/>
          </w:tcPr>
          <w:p w14:paraId="4A08C05B">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项目负责人</w:t>
            </w:r>
          </w:p>
        </w:tc>
        <w:tc>
          <w:tcPr>
            <w:tcW w:w="3819" w:type="dxa"/>
            <w:noWrap w:val="0"/>
            <w:tcMar>
              <w:top w:w="0" w:type="dxa"/>
              <w:left w:w="105" w:type="dxa"/>
              <w:bottom w:w="0" w:type="dxa"/>
              <w:right w:w="105" w:type="dxa"/>
            </w:tcMar>
            <w:vAlign w:val="center"/>
          </w:tcPr>
          <w:p w14:paraId="4BA25482">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w:t>
            </w:r>
          </w:p>
        </w:tc>
      </w:tr>
      <w:tr w14:paraId="5EF84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2260" w:type="dxa"/>
            <w:noWrap w:val="0"/>
            <w:tcMar>
              <w:top w:w="0" w:type="dxa"/>
              <w:left w:w="105" w:type="dxa"/>
              <w:bottom w:w="0" w:type="dxa"/>
              <w:right w:w="105" w:type="dxa"/>
            </w:tcMar>
            <w:vAlign w:val="center"/>
          </w:tcPr>
          <w:p w14:paraId="18A2F3ED">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技术负责人</w:t>
            </w:r>
          </w:p>
        </w:tc>
        <w:tc>
          <w:tcPr>
            <w:tcW w:w="3819" w:type="dxa"/>
            <w:noWrap w:val="0"/>
            <w:tcMar>
              <w:top w:w="0" w:type="dxa"/>
              <w:left w:w="105" w:type="dxa"/>
              <w:bottom w:w="0" w:type="dxa"/>
              <w:right w:w="105" w:type="dxa"/>
            </w:tcMar>
            <w:vAlign w:val="center"/>
          </w:tcPr>
          <w:p w14:paraId="5F30934D">
            <w:pPr>
              <w:pStyle w:val="7"/>
              <w:spacing w:line="360" w:lineRule="auto"/>
              <w:jc w:val="cente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w:t>
            </w:r>
          </w:p>
        </w:tc>
      </w:tr>
    </w:tbl>
    <w:p w14:paraId="7C8625A0">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其他</w:t>
      </w:r>
      <w:r>
        <w:rPr>
          <w:rFonts w:hint="eastAsia" w:ascii="宋体" w:hAnsi="宋体" w:eastAsia="宋体" w:cs="宋体"/>
          <w:b/>
          <w:bCs/>
          <w:color w:val="auto"/>
          <w:sz w:val="24"/>
          <w:szCs w:val="24"/>
          <w:highlight w:val="none"/>
        </w:rPr>
        <w:t>要求</w:t>
      </w:r>
    </w:p>
    <w:p w14:paraId="7172117E">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满足交通运输部、陕西省交通运输主管部门印发的规范性文件以及</w:t>
      </w:r>
      <w:r>
        <w:rPr>
          <w:rFonts w:hint="eastAsia" w:ascii="宋体" w:hAnsi="宋体" w:eastAsia="宋体" w:cs="宋体"/>
          <w:color w:val="auto"/>
          <w:sz w:val="24"/>
          <w:szCs w:val="24"/>
          <w:highlight w:val="none"/>
          <w:lang w:val="en-US" w:eastAsia="zh-CN"/>
        </w:rPr>
        <w:t>本竞争性磋商</w:t>
      </w:r>
      <w:r>
        <w:rPr>
          <w:rFonts w:hint="eastAsia" w:ascii="宋体" w:hAnsi="宋体" w:eastAsia="宋体" w:cs="宋体"/>
          <w:color w:val="auto"/>
          <w:sz w:val="24"/>
          <w:szCs w:val="24"/>
          <w:highlight w:val="none"/>
        </w:rPr>
        <w:t>文件相关技术要求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提交的</w:t>
      </w:r>
      <w:r>
        <w:rPr>
          <w:rFonts w:hint="eastAsia" w:ascii="宋体" w:hAnsi="宋体" w:eastAsia="宋体" w:cs="宋体"/>
          <w:color w:val="auto"/>
          <w:sz w:val="24"/>
          <w:szCs w:val="24"/>
          <w:highlight w:val="none"/>
          <w:lang w:val="en-US" w:eastAsia="zh-CN"/>
        </w:rPr>
        <w:t>设计文件</w:t>
      </w:r>
      <w:r>
        <w:rPr>
          <w:rFonts w:hint="eastAsia" w:ascii="宋体" w:hAnsi="宋体" w:eastAsia="宋体" w:cs="宋体"/>
          <w:color w:val="auto"/>
          <w:sz w:val="24"/>
          <w:szCs w:val="24"/>
          <w:highlight w:val="none"/>
        </w:rPr>
        <w:t>需通过咨询单位的技术审查。</w:t>
      </w:r>
    </w:p>
    <w:p w14:paraId="7A96DD73">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、售后服务</w:t>
      </w:r>
    </w:p>
    <w:p w14:paraId="76DE4351">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技术支持和售后服务由乙方严格按</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及有关承诺执行，提供7*24小时电话咨询服务，出现问题时，</w:t>
      </w:r>
      <w:r>
        <w:rPr>
          <w:rFonts w:hint="eastAsia" w:ascii="宋体" w:hAnsi="宋体" w:eastAsia="宋体" w:cs="宋体"/>
          <w:color w:val="auto"/>
          <w:sz w:val="24"/>
          <w:szCs w:val="24"/>
          <w:highlight w:val="none"/>
          <w:u w:val="single"/>
          <w:lang w:val="en-US" w:eastAsia="zh-CN"/>
        </w:rPr>
        <w:t xml:space="preserve"> 0.5 </w:t>
      </w:r>
      <w:r>
        <w:rPr>
          <w:rFonts w:hint="eastAsia" w:ascii="宋体" w:hAnsi="宋体" w:eastAsia="宋体" w:cs="宋体"/>
          <w:color w:val="auto"/>
          <w:sz w:val="24"/>
          <w:szCs w:val="24"/>
          <w:highlight w:val="none"/>
        </w:rPr>
        <w:t>小时内电话响应，</w:t>
      </w:r>
      <w:r>
        <w:rPr>
          <w:rFonts w:hint="eastAsia" w:ascii="宋体" w:hAnsi="宋体" w:eastAsia="宋体" w:cs="宋体"/>
          <w:color w:val="auto"/>
          <w:sz w:val="24"/>
          <w:szCs w:val="24"/>
          <w:highlight w:val="none"/>
          <w:u w:val="single"/>
          <w:lang w:val="en-US" w:eastAsia="zh-CN"/>
        </w:rPr>
        <w:t xml:space="preserve"> 1 </w:t>
      </w:r>
      <w:r>
        <w:rPr>
          <w:rFonts w:hint="eastAsia" w:ascii="宋体" w:hAnsi="宋体" w:eastAsia="宋体" w:cs="宋体"/>
          <w:color w:val="auto"/>
          <w:sz w:val="24"/>
          <w:szCs w:val="24"/>
          <w:highlight w:val="none"/>
        </w:rPr>
        <w:t>小时内电话解决问题，如有需要</w:t>
      </w:r>
      <w:r>
        <w:rPr>
          <w:rFonts w:hint="eastAsia" w:ascii="宋体" w:hAnsi="宋体" w:eastAsia="宋体" w:cs="宋体"/>
          <w:color w:val="auto"/>
          <w:sz w:val="24"/>
          <w:szCs w:val="24"/>
          <w:highlight w:val="none"/>
          <w:u w:val="single"/>
          <w:lang w:val="en-US" w:eastAsia="zh-CN"/>
        </w:rPr>
        <w:t xml:space="preserve"> 1 </w:t>
      </w:r>
      <w:r>
        <w:rPr>
          <w:rFonts w:hint="eastAsia" w:ascii="宋体" w:hAnsi="宋体" w:eastAsia="宋体" w:cs="宋体"/>
          <w:color w:val="auto"/>
          <w:sz w:val="24"/>
          <w:szCs w:val="24"/>
          <w:highlight w:val="none"/>
        </w:rPr>
        <w:t>小时内到达故障现场解决问题。</w:t>
      </w:r>
    </w:p>
    <w:p w14:paraId="3978DEF6">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售后服务联系方式: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2B161082">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如</w:t>
      </w:r>
      <w:r>
        <w:rPr>
          <w:rFonts w:hint="eastAsia" w:ascii="宋体" w:hAnsi="宋体" w:eastAsia="宋体" w:cs="宋体"/>
          <w:color w:val="auto"/>
          <w:sz w:val="24"/>
          <w:szCs w:val="24"/>
          <w:highlight w:val="none"/>
          <w:lang w:eastAsia="zh-CN"/>
        </w:rPr>
        <w:t>因</w:t>
      </w:r>
      <w:r>
        <w:rPr>
          <w:rFonts w:hint="eastAsia" w:ascii="宋体" w:hAnsi="宋体" w:eastAsia="宋体" w:cs="宋体"/>
          <w:color w:val="auto"/>
          <w:sz w:val="24"/>
          <w:szCs w:val="24"/>
          <w:highlight w:val="none"/>
        </w:rPr>
        <w:t>乙方自身原因或不能履行售后服务义务,甲方有权委托第三方处理，由此产生的费用和风险由乙方承担</w:t>
      </w:r>
      <w:r>
        <w:rPr>
          <w:rFonts w:hint="eastAsia" w:ascii="宋体" w:hAnsi="宋体" w:eastAsia="宋体" w:cs="宋体"/>
          <w:color w:val="auto"/>
          <w:sz w:val="24"/>
          <w:szCs w:val="24"/>
          <w:highlight w:val="none"/>
          <w:lang w:eastAsia="zh-CN"/>
        </w:rPr>
        <w:t>。</w:t>
      </w:r>
    </w:p>
    <w:p w14:paraId="17132A41">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验收</w:t>
      </w:r>
    </w:p>
    <w:p w14:paraId="5D743676">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项目完成全部工作内容后，由甲方相关处室负责组织召开项目履约验收会议，经评审确定合格后，向乙方出具相关履约验收书。验收内容包括磋商文件“第三章 磋商项目技术、服务、商务及其他要求”中明确的服务要求各项内容以及合同约定时限等完成情况，重点审查乙方所提交的咨询报告的完整性、准确性、合理性；对乙方履行合同约定中审查方案安排合理性、审查流程规范性、服务质量及安全保障得力、措施建议有针对性等方面进行验收。验收标准执行现行相关技术标准和规范。</w:t>
      </w:r>
    </w:p>
    <w:p w14:paraId="6D7BE17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审查、验收不合格的，乙方须限期整改，整改过程中产生的一切费用和损失由乙方承担；整改超过二次的，甲方有权单方解除本合同，乙方应无条件退还已收取的全部合同价款，给甲方造成损失的应予以赔偿，且乙方应按对应档位合同报价的10%向甲方支付违约金。</w:t>
      </w:r>
    </w:p>
    <w:p w14:paraId="7BDF4B46">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i w:val="0"/>
          <w:iCs w:val="0"/>
          <w:caps w:val="0"/>
          <w:color w:val="auto"/>
          <w:spacing w:val="0"/>
          <w:kern w:val="0"/>
          <w:sz w:val="24"/>
          <w:szCs w:val="24"/>
          <w:highlight w:val="none"/>
          <w:lang w:val="en-US" w:eastAsia="zh-CN" w:bidi="ar"/>
        </w:rPr>
        <w:t xml:space="preserve">    </w:t>
      </w:r>
      <w:r>
        <w:rPr>
          <w:rFonts w:hint="eastAsia" w:ascii="宋体" w:hAnsi="宋体" w:eastAsia="宋体" w:cs="宋体"/>
          <w:b/>
          <w:bCs/>
          <w:color w:val="auto"/>
          <w:sz w:val="24"/>
          <w:szCs w:val="24"/>
          <w:highlight w:val="none"/>
          <w:lang w:val="en-US" w:eastAsia="zh-CN"/>
        </w:rPr>
        <w:t>九、保密</w:t>
      </w:r>
    </w:p>
    <w:p w14:paraId="52CBDEF8">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乙方对工作中了解到的甲方的技术、数据、机密等进行严格保密，不得向他人泄漏。本合同的解除或终止不免除乙方应承担的保密义务。</w:t>
      </w:r>
    </w:p>
    <w:p w14:paraId="651CA8F7">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乙方违反保密规定的，除承担法律责任外，还应向甲方支付合同总金额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%的违约金，给甲方造成损失的，乙方还应予以赔偿。</w:t>
      </w:r>
    </w:p>
    <w:p w14:paraId="2EE0545C">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    十、知识产权</w:t>
      </w:r>
    </w:p>
    <w:p w14:paraId="1057CF5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%的违约金，给甲方造成损失的，乙方应予以赔偿。</w:t>
      </w:r>
    </w:p>
    <w:p w14:paraId="248C2506">
      <w:pPr>
        <w:tabs>
          <w:tab w:val="left" w:pos="980"/>
        </w:tabs>
        <w:kinsoku w:val="0"/>
        <w:spacing w:line="520" w:lineRule="exac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bidi="ar-SA"/>
        </w:rPr>
        <w:t xml:space="preserve"> 十一、违约责任</w:t>
      </w:r>
    </w:p>
    <w:p w14:paraId="69CD6D5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（一）甲乙双方必须遵守本合同并执行合同中的各项规定，保证本合同的正常履行。</w:t>
      </w:r>
    </w:p>
    <w:p w14:paraId="387478D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D4459B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60D5575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（四）乙方逾期完成服务的，每逾期一日，向甲方承担合同总金额</w:t>
      </w:r>
      <w:r>
        <w:rPr>
          <w:rFonts w:hint="eastAsia" w:ascii="宋体" w:hAnsi="宋体" w:eastAsia="宋体" w:cs="宋体"/>
          <w:color w:val="auto"/>
          <w:sz w:val="24"/>
          <w:szCs w:val="24"/>
          <w:highlight w:val="none"/>
          <w:u w:val="single"/>
          <w:lang w:val="en-US" w:eastAsia="zh-CN"/>
        </w:rPr>
        <w:t xml:space="preserve"> 0.1 </w:t>
      </w:r>
      <w:r>
        <w:rPr>
          <w:rFonts w:hint="eastAsia" w:ascii="宋体" w:hAnsi="宋体" w:eastAsia="宋体" w:cs="宋体"/>
          <w:color w:val="auto"/>
          <w:sz w:val="24"/>
          <w:szCs w:val="24"/>
          <w:highlight w:val="none"/>
          <w:lang w:val="en-US" w:eastAsia="zh-CN"/>
        </w:rPr>
        <w:t>%的违约金，逾期</w:t>
      </w:r>
      <w:r>
        <w:rPr>
          <w:rFonts w:hint="eastAsia" w:ascii="宋体" w:hAnsi="宋体" w:eastAsia="宋体" w:cs="宋体"/>
          <w:color w:val="auto"/>
          <w:sz w:val="24"/>
          <w:szCs w:val="24"/>
          <w:highlight w:val="none"/>
          <w:u w:val="single"/>
          <w:lang w:val="en-US" w:eastAsia="zh-CN"/>
        </w:rPr>
        <w:t xml:space="preserve"> 30 </w:t>
      </w:r>
      <w:r>
        <w:rPr>
          <w:rFonts w:hint="eastAsia" w:ascii="宋体" w:hAnsi="宋体" w:eastAsia="宋体" w:cs="宋体"/>
          <w:color w:val="auto"/>
          <w:sz w:val="24"/>
          <w:szCs w:val="24"/>
          <w:highlight w:val="none"/>
          <w:lang w:val="en-US" w:eastAsia="zh-CN"/>
        </w:rPr>
        <w:t>日的，甲方有权单方解除本合同且保留追究乙方违约责任的权利，给甲方造成损失的，乙方还应予以赔偿。</w:t>
      </w:r>
    </w:p>
    <w:p w14:paraId="4ACF6DE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w:t>
      </w:r>
    </w:p>
    <w:p w14:paraId="7909AC2A">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w:t>
      </w:r>
    </w:p>
    <w:p w14:paraId="100D88F1">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4CD5371A">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（八）</w:t>
      </w:r>
      <w:r>
        <w:rPr>
          <w:rFonts w:hint="eastAsia" w:ascii="宋体" w:hAnsi="宋体" w:eastAsia="宋体" w:cs="宋体"/>
          <w:b w:val="0"/>
          <w:bCs w:val="0"/>
          <w:color w:val="auto"/>
          <w:sz w:val="24"/>
          <w:szCs w:val="24"/>
          <w:highlight w:val="none"/>
        </w:rPr>
        <w:t>乙方未按合同约定或甲 方要求提供服务的，每出现一次应承担合同总价款【</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】%的违约金，出现【</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】次的，甲方有权单方解除本合同，给甲方造成损失的，乙方还应予以赔偿</w:t>
      </w:r>
      <w:r>
        <w:rPr>
          <w:rFonts w:hint="eastAsia" w:ascii="宋体" w:hAnsi="宋体" w:eastAsia="宋体" w:cs="宋体"/>
          <w:b w:val="0"/>
          <w:bCs w:val="0"/>
          <w:color w:val="auto"/>
          <w:sz w:val="24"/>
          <w:szCs w:val="24"/>
          <w:highlight w:val="none"/>
          <w:lang w:eastAsia="zh-CN"/>
        </w:rPr>
        <w:t>。</w:t>
      </w:r>
    </w:p>
    <w:p w14:paraId="5F6C22C1">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1BED3FCE">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十二、合同争议的解决</w:t>
      </w:r>
    </w:p>
    <w:p w14:paraId="632FD2A2">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在执行本合同中发生的或与本合同有关的争端，双方应通过友好协商解决，经协商无法解决的，应向甲方所在地有管辖权的人民法院提请诉讼。</w:t>
      </w:r>
    </w:p>
    <w:p w14:paraId="649C77B5">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十三、不可抗力情况下的免责约定</w:t>
      </w:r>
    </w:p>
    <w:p w14:paraId="29C8AF3A">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双方约定不可抗力情况指：双方不可预见、不可避免、不可克服的客观情况，但不包括双方的违约或疏忽。这些事件包括但不限于：战争、严重火灾、洪水、台风、地震等。</w:t>
      </w:r>
    </w:p>
    <w:p w14:paraId="491B1757">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（一）在合同有效期内，任何一方因不可抗力事件导致不能履行合同，则合同履行期可延长，其延长期与不可抗力影响期相同。</w:t>
      </w:r>
    </w:p>
    <w:p w14:paraId="0AD37878">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（二）不可抗力事件发生后，应立即通知对方，并寄送有关权威机构出具的证明。</w:t>
      </w:r>
    </w:p>
    <w:p w14:paraId="2DB38B7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（三）不可抗力事件延续60天以上，双方应通过友好协商，确定是否继续履行合同。</w:t>
      </w:r>
    </w:p>
    <w:p w14:paraId="4622F06A">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十四、合同订立</w:t>
      </w:r>
    </w:p>
    <w:p w14:paraId="344F051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62FD603E">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（二）本合同签订后,双方依法签订的补充协议也是本合同文件的组成部分，当上述文件如有不明确或不一致之处，以合同约定次序在先者为准。</w:t>
      </w:r>
    </w:p>
    <w:p w14:paraId="7DC044B9">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（三）本合同自双方的法定代表人（负责人）或授权代表签字并加盖单位公章之日起生效。</w:t>
      </w:r>
    </w:p>
    <w:p w14:paraId="25AB08D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（四）本合同一式</w:t>
      </w:r>
      <w:r>
        <w:rPr>
          <w:rFonts w:hint="eastAsia" w:ascii="宋体" w:hAnsi="宋体" w:eastAsia="宋体" w:cs="宋体"/>
          <w:color w:val="auto"/>
          <w:sz w:val="24"/>
          <w:szCs w:val="24"/>
          <w:highlight w:val="none"/>
          <w:u w:val="single"/>
          <w:lang w:val="en-US" w:eastAsia="zh-CN"/>
        </w:rPr>
        <w:t xml:space="preserve"> 捌 </w:t>
      </w:r>
      <w:r>
        <w:rPr>
          <w:rFonts w:hint="eastAsia" w:ascii="宋体" w:hAnsi="宋体" w:eastAsia="宋体" w:cs="宋体"/>
          <w:color w:val="auto"/>
          <w:sz w:val="24"/>
          <w:szCs w:val="24"/>
          <w:highlight w:val="none"/>
          <w:lang w:val="en-US" w:eastAsia="zh-CN"/>
        </w:rPr>
        <w:t>份，其中，甲方执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份，乙方执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份，具有同等法律效力。</w:t>
      </w:r>
    </w:p>
    <w:p w14:paraId="78952229">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4"/>
          <w:szCs w:val="24"/>
          <w:highlight w:val="none"/>
          <w:lang w:val="en-US" w:eastAsia="zh-CN" w:bidi="ar-SA"/>
        </w:rPr>
      </w:pPr>
    </w:p>
    <w:p w14:paraId="75EED848">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u w:val="single"/>
          <w:lang w:val="en-US" w:eastAsia="zh-CN"/>
        </w:rPr>
        <w:t>陕西省公路局（盖章）</w:t>
      </w:r>
      <w:r>
        <w:rPr>
          <w:rFonts w:hint="eastAsia" w:ascii="宋体" w:hAnsi="宋体" w:eastAsia="宋体" w:cs="宋体"/>
          <w:color w:val="auto"/>
          <w:sz w:val="24"/>
          <w:szCs w:val="24"/>
          <w:highlight w:val="none"/>
          <w:lang w:val="en-US" w:eastAsia="zh-CN"/>
        </w:rPr>
        <w:t xml:space="preserve">                  </w:t>
      </w:r>
    </w:p>
    <w:p w14:paraId="7F046856">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w:t>
      </w:r>
      <w:r>
        <w:rPr>
          <w:rFonts w:hint="eastAsia" w:ascii="宋体" w:hAnsi="宋体" w:eastAsia="宋体" w:cs="宋体"/>
          <w:color w:val="auto"/>
          <w:sz w:val="24"/>
          <w:szCs w:val="24"/>
          <w:highlight w:val="none"/>
          <w:u w:val="single"/>
          <w:lang w:val="en-US" w:eastAsia="zh-CN"/>
        </w:rPr>
        <w:t>陕西省西安市碑林区含光北路110号</w:t>
      </w:r>
      <w:r>
        <w:rPr>
          <w:rFonts w:hint="eastAsia" w:ascii="宋体" w:hAnsi="宋体" w:eastAsia="宋体" w:cs="宋体"/>
          <w:color w:val="auto"/>
          <w:sz w:val="24"/>
          <w:szCs w:val="24"/>
          <w:highlight w:val="none"/>
          <w:lang w:val="en-US" w:eastAsia="zh-CN"/>
        </w:rPr>
        <w:t xml:space="preserve"> </w:t>
      </w:r>
    </w:p>
    <w:p w14:paraId="75B00404">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开户行：</w:t>
      </w:r>
      <w:r>
        <w:rPr>
          <w:rFonts w:hint="eastAsia" w:ascii="宋体" w:hAnsi="宋体" w:eastAsia="宋体" w:cs="宋体"/>
          <w:color w:val="auto"/>
          <w:sz w:val="24"/>
          <w:szCs w:val="24"/>
          <w:highlight w:val="none"/>
          <w:u w:val="single"/>
          <w:lang w:val="en-US" w:eastAsia="zh-CN"/>
        </w:rPr>
        <w:t>交通银行西安城南支行</w:t>
      </w:r>
    </w:p>
    <w:p w14:paraId="643DF74B">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账号：</w:t>
      </w:r>
      <w:r>
        <w:rPr>
          <w:rFonts w:hint="eastAsia" w:ascii="宋体" w:hAnsi="宋体" w:eastAsia="宋体" w:cs="宋体"/>
          <w:color w:val="auto"/>
          <w:sz w:val="24"/>
          <w:szCs w:val="24"/>
          <w:highlight w:val="none"/>
          <w:u w:val="single"/>
          <w:lang w:val="en-US" w:eastAsia="zh-CN"/>
        </w:rPr>
        <w:t>611301033018010000003</w:t>
      </w:r>
    </w:p>
    <w:p w14:paraId="7368FE66">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7A07B272">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785D1C7C">
      <w:pPr>
        <w:pageBreakBefore w:val="0"/>
        <w:widowControl w:val="0"/>
        <w:shd w:val="clear" w:color="auto" w:fill="auto"/>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auto"/>
          <w:sz w:val="24"/>
          <w:szCs w:val="24"/>
          <w:highlight w:val="none"/>
          <w:lang w:val="en-US" w:eastAsia="zh-Hans"/>
        </w:rPr>
      </w:pPr>
      <w:r>
        <w:rPr>
          <w:rFonts w:hint="eastAsia" w:ascii="宋体" w:hAnsi="宋体" w:eastAsia="宋体" w:cs="宋体"/>
          <w:color w:val="auto"/>
          <w:sz w:val="24"/>
          <w:szCs w:val="24"/>
          <w:highlight w:val="none"/>
          <w:lang w:val="en-US" w:eastAsia="zh-CN"/>
        </w:rPr>
        <w:t xml:space="preserve">          </w:t>
      </w:r>
    </w:p>
    <w:p w14:paraId="324FAA48">
      <w:pPr>
        <w:pStyle w:val="7"/>
        <w:pageBreakBefore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乙  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（盖章）</w:t>
      </w:r>
    </w:p>
    <w:p w14:paraId="250FFFCA">
      <w:pPr>
        <w:pStyle w:val="7"/>
        <w:pageBreakBefore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077C366">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color w:val="auto"/>
          <w:sz w:val="24"/>
          <w:szCs w:val="24"/>
          <w:highlight w:val="none"/>
          <w:lang w:val="en-US" w:eastAsia="zh-CN"/>
        </w:rPr>
        <w:t>开户行：</w:t>
      </w:r>
      <w:r>
        <w:rPr>
          <w:rFonts w:hint="eastAsia" w:ascii="宋体" w:hAnsi="宋体" w:eastAsia="宋体" w:cs="宋体"/>
          <w:bCs/>
          <w:color w:val="auto"/>
          <w:sz w:val="24"/>
          <w:szCs w:val="24"/>
          <w:highlight w:val="none"/>
          <w:u w:val="single"/>
          <w:lang w:val="en-US" w:eastAsia="zh-CN" w:bidi="ar"/>
        </w:rPr>
        <w:t xml:space="preserve">                               </w:t>
      </w:r>
    </w:p>
    <w:p w14:paraId="76D18BB9">
      <w:pPr>
        <w:spacing w:line="48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bidi="ar"/>
        </w:rPr>
        <w:t xml:space="preserve">账 </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lang w:bidi="ar"/>
        </w:rPr>
        <w:t>号：</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rPr>
        <w:t xml:space="preserve">     </w:t>
      </w:r>
    </w:p>
    <w:p w14:paraId="2F2C9AEF">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209593D4">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3F60C9B5">
      <w:pPr>
        <w:pageBreakBefore w:val="0"/>
        <w:widowControl w:val="0"/>
        <w:shd w:val="clear" w:color="auto" w:fill="auto"/>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0CE65CE3">
      <w:pPr>
        <w:pageBreakBefore w:val="0"/>
        <w:widowControl w:val="0"/>
        <w:shd w:val="clear" w:color="auto" w:fill="auto"/>
        <w:kinsoku/>
        <w:wordWrap/>
        <w:overflowPunct/>
        <w:topLinePunct w:val="0"/>
        <w:autoSpaceDE/>
        <w:autoSpaceDN/>
        <w:bidi w:val="0"/>
        <w:adjustRightInd/>
        <w:snapToGrid/>
        <w:spacing w:line="480" w:lineRule="auto"/>
        <w:ind w:firstLine="42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日</w:t>
      </w:r>
    </w:p>
    <w:p w14:paraId="54C26505">
      <w:pPr>
        <w:pStyle w:val="7"/>
        <w:adjustRightInd w:val="0"/>
        <w:snapToGrid w:val="0"/>
        <w:spacing w:line="360" w:lineRule="auto"/>
        <w:ind w:firstLine="0" w:firstLineChars="0"/>
        <w:rPr>
          <w:rFonts w:hint="eastAsia" w:ascii="宋体" w:hAnsi="宋体" w:eastAsia="宋体" w:cs="宋体"/>
          <w:color w:val="auto"/>
          <w:sz w:val="24"/>
          <w:szCs w:val="24"/>
          <w:highlight w:val="none"/>
        </w:rPr>
      </w:pPr>
    </w:p>
    <w:p w14:paraId="58AA6519">
      <w:bookmarkStart w:id="1" w:name="_GoBack"/>
      <w:bookmarkEnd w:id="1"/>
    </w:p>
    <w:sectPr>
      <w:pgSz w:w="11906" w:h="16838"/>
      <w:pgMar w:top="1417" w:right="1417" w:bottom="1134"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17276"/>
    <w:rsid w:val="07C17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customStyle="1" w:styleId="7">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2026-05-09T09:54:00Z</dcterms:created>
  <dc:creator>M</dc:creator>
  <cp:lastModifiedBy>M</cp:lastModifiedBy>
  <dcterms:modified xsi:type="dcterms:W3CDTF">2026-05-09T09:54:34Z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9914A11389184C099BC6ADCD57E64510_11</vt:lpwstr>
  </property>
  <property fmtid="{D5CDD505-2E9C-101B-9397-08002B2CF9AE}" pid="4" name="KSOTemplateDocerSaveRecord">
    <vt:lpwstr>eyJoZGlkIjoiYjA0ZDg3NGE3ODljODI4OGQ0MzdhMDA5Mjc2OGVmOGQiLCJ1c2VySWQiOiI1NDkzMjg4OTQifQ==</vt:lpwstr>
  </property>
</Properties>
</file>